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DD" w:rsidRDefault="003052DD" w:rsidP="003052DD">
      <w:pPr>
        <w:jc w:val="both"/>
      </w:pPr>
      <w:r w:rsidRPr="003335E0">
        <w:rPr>
          <w:b/>
        </w:rPr>
        <w:t xml:space="preserve">Appendix 4: </w:t>
      </w:r>
      <w:r w:rsidRPr="00D86B33">
        <w:rPr>
          <w:b/>
        </w:rPr>
        <w:t>Benchmarking of leisure concessions</w:t>
      </w:r>
      <w:r>
        <w:rPr>
          <w:b/>
        </w:rPr>
        <w:t>, 2018/19</w:t>
      </w:r>
    </w:p>
    <w:p w:rsidR="003052DD" w:rsidRDefault="003052DD" w:rsidP="003052DD">
      <w:pPr>
        <w:jc w:val="both"/>
      </w:pPr>
    </w:p>
    <w:tbl>
      <w:tblPr>
        <w:tblW w:w="11226" w:type="dxa"/>
        <w:jc w:val="center"/>
        <w:tblInd w:w="93" w:type="dxa"/>
        <w:tblLayout w:type="fixed"/>
        <w:tblLook w:val="04A0" w:firstRow="1" w:lastRow="0" w:firstColumn="1" w:lastColumn="0" w:noHBand="0" w:noVBand="1"/>
      </w:tblPr>
      <w:tblGrid>
        <w:gridCol w:w="2045"/>
        <w:gridCol w:w="1642"/>
        <w:gridCol w:w="1642"/>
        <w:gridCol w:w="1384"/>
        <w:gridCol w:w="1347"/>
        <w:gridCol w:w="1440"/>
        <w:gridCol w:w="1726"/>
      </w:tblGrid>
      <w:tr w:rsidR="003052DD" w:rsidRPr="00600938" w:rsidTr="00BC3CDC">
        <w:trPr>
          <w:trHeight w:val="262"/>
          <w:jc w:val="center"/>
        </w:trPr>
        <w:tc>
          <w:tcPr>
            <w:tcW w:w="2045" w:type="dxa"/>
            <w:tcBorders>
              <w:bottom w:val="single" w:sz="4" w:space="0" w:color="auto"/>
              <w:right w:val="single" w:sz="4" w:space="0" w:color="auto"/>
            </w:tcBorders>
            <w:shd w:val="clear" w:color="auto" w:fill="auto"/>
            <w:noWrap/>
            <w:vAlign w:val="center"/>
            <w:hideMark/>
          </w:tcPr>
          <w:p w:rsidR="003052DD" w:rsidRPr="005576B9" w:rsidRDefault="003052DD" w:rsidP="00BC3CDC">
            <w:pPr>
              <w:jc w:val="both"/>
              <w:rPr>
                <w:rFonts w:cs="Arial"/>
                <w:b/>
                <w:bCs/>
                <w:sz w:val="22"/>
                <w:szCs w:val="22"/>
                <w:lang w:eastAsia="en-GB"/>
              </w:rPr>
            </w:pPr>
          </w:p>
        </w:tc>
        <w:tc>
          <w:tcPr>
            <w:tcW w:w="3284" w:type="dxa"/>
            <w:gridSpan w:val="2"/>
            <w:tcBorders>
              <w:top w:val="single" w:sz="4" w:space="0" w:color="auto"/>
              <w:bottom w:val="single" w:sz="4" w:space="0" w:color="auto"/>
              <w:right w:val="single" w:sz="4" w:space="0" w:color="auto"/>
            </w:tcBorders>
          </w:tcPr>
          <w:p w:rsidR="003052DD" w:rsidRPr="005576B9" w:rsidRDefault="003052DD" w:rsidP="00BC3CDC">
            <w:pPr>
              <w:jc w:val="both"/>
              <w:rPr>
                <w:rFonts w:cs="Arial"/>
                <w:b/>
                <w:bCs/>
                <w:sz w:val="22"/>
                <w:szCs w:val="22"/>
                <w:lang w:eastAsia="en-GB"/>
              </w:rPr>
            </w:pPr>
            <w:r w:rsidRPr="005576B9">
              <w:rPr>
                <w:rFonts w:cs="Arial"/>
                <w:b/>
                <w:bCs/>
                <w:sz w:val="22"/>
                <w:szCs w:val="22"/>
                <w:lang w:eastAsia="en-GB"/>
              </w:rPr>
              <w:t>Oxford</w:t>
            </w:r>
          </w:p>
        </w:tc>
        <w:tc>
          <w:tcPr>
            <w:tcW w:w="589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052DD" w:rsidRPr="005576B9" w:rsidRDefault="003052DD" w:rsidP="00BC3CDC">
            <w:pPr>
              <w:jc w:val="both"/>
              <w:rPr>
                <w:rFonts w:cs="Arial"/>
                <w:b/>
                <w:bCs/>
                <w:sz w:val="22"/>
                <w:szCs w:val="22"/>
                <w:lang w:eastAsia="en-GB"/>
              </w:rPr>
            </w:pPr>
            <w:r w:rsidRPr="005576B9">
              <w:rPr>
                <w:rFonts w:cs="Arial"/>
                <w:b/>
                <w:bCs/>
                <w:sz w:val="22"/>
                <w:szCs w:val="22"/>
                <w:lang w:eastAsia="en-GB"/>
              </w:rPr>
              <w:t>Other leisure centres</w:t>
            </w:r>
          </w:p>
        </w:tc>
      </w:tr>
      <w:tr w:rsidR="003052DD" w:rsidRPr="00600938" w:rsidTr="00BC3CDC">
        <w:trPr>
          <w:trHeight w:val="1515"/>
          <w:jc w:val="center"/>
        </w:trPr>
        <w:tc>
          <w:tcPr>
            <w:tcW w:w="2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2DD" w:rsidRPr="005576B9" w:rsidRDefault="003052DD" w:rsidP="00BC3CDC">
            <w:pPr>
              <w:jc w:val="both"/>
              <w:rPr>
                <w:rFonts w:cs="Arial"/>
                <w:b/>
                <w:bCs/>
                <w:sz w:val="22"/>
                <w:szCs w:val="22"/>
                <w:lang w:eastAsia="en-GB"/>
              </w:rPr>
            </w:pPr>
            <w:r w:rsidRPr="005576B9">
              <w:rPr>
                <w:rFonts w:cs="Arial"/>
                <w:b/>
                <w:bCs/>
                <w:sz w:val="22"/>
                <w:szCs w:val="22"/>
                <w:lang w:eastAsia="en-GB"/>
              </w:rPr>
              <w:t>Activity</w:t>
            </w:r>
          </w:p>
        </w:tc>
        <w:tc>
          <w:tcPr>
            <w:tcW w:w="1642" w:type="dxa"/>
            <w:tcBorders>
              <w:top w:val="single" w:sz="4" w:space="0" w:color="auto"/>
              <w:left w:val="single" w:sz="4" w:space="0" w:color="auto"/>
              <w:bottom w:val="single" w:sz="4" w:space="0" w:color="auto"/>
              <w:right w:val="single" w:sz="18" w:space="0" w:color="auto"/>
            </w:tcBorders>
          </w:tcPr>
          <w:p w:rsidR="003052DD" w:rsidRDefault="003052DD" w:rsidP="00BC3CDC">
            <w:pPr>
              <w:jc w:val="both"/>
              <w:rPr>
                <w:rFonts w:cs="Arial"/>
                <w:b/>
                <w:bCs/>
                <w:sz w:val="22"/>
                <w:szCs w:val="22"/>
                <w:lang w:eastAsia="en-GB"/>
              </w:rPr>
            </w:pPr>
          </w:p>
          <w:p w:rsidR="003052DD" w:rsidRDefault="003052DD" w:rsidP="00BC3CDC">
            <w:pPr>
              <w:jc w:val="both"/>
              <w:rPr>
                <w:rFonts w:cs="Arial"/>
                <w:b/>
                <w:bCs/>
                <w:sz w:val="22"/>
                <w:szCs w:val="22"/>
                <w:lang w:eastAsia="en-GB"/>
              </w:rPr>
            </w:pPr>
          </w:p>
          <w:p w:rsidR="003052DD" w:rsidRDefault="003052DD" w:rsidP="00BC3CDC">
            <w:pPr>
              <w:jc w:val="both"/>
              <w:rPr>
                <w:rFonts w:cs="Arial"/>
                <w:b/>
                <w:bCs/>
                <w:sz w:val="22"/>
                <w:szCs w:val="22"/>
                <w:lang w:eastAsia="en-GB"/>
              </w:rPr>
            </w:pPr>
            <w:r>
              <w:rPr>
                <w:rFonts w:cs="Arial"/>
                <w:b/>
                <w:bCs/>
                <w:sz w:val="22"/>
                <w:szCs w:val="22"/>
                <w:lang w:eastAsia="en-GB"/>
              </w:rPr>
              <w:t xml:space="preserve">Adult </w:t>
            </w:r>
          </w:p>
          <w:p w:rsidR="003052DD" w:rsidRDefault="003052DD" w:rsidP="00BC3CDC">
            <w:pPr>
              <w:jc w:val="both"/>
              <w:rPr>
                <w:rFonts w:cs="Arial"/>
                <w:b/>
                <w:bCs/>
                <w:sz w:val="22"/>
                <w:szCs w:val="22"/>
                <w:lang w:eastAsia="en-GB"/>
              </w:rPr>
            </w:pPr>
            <w:r>
              <w:rPr>
                <w:rFonts w:cs="Arial"/>
                <w:b/>
                <w:bCs/>
                <w:sz w:val="22"/>
                <w:szCs w:val="22"/>
                <w:lang w:eastAsia="en-GB"/>
              </w:rPr>
              <w:t xml:space="preserve">Pay as </w:t>
            </w:r>
          </w:p>
          <w:p w:rsidR="003052DD" w:rsidRPr="005576B9" w:rsidRDefault="003052DD" w:rsidP="00BC3CDC">
            <w:pPr>
              <w:jc w:val="both"/>
              <w:rPr>
                <w:rFonts w:cs="Arial"/>
                <w:b/>
                <w:bCs/>
                <w:sz w:val="22"/>
                <w:szCs w:val="22"/>
                <w:lang w:eastAsia="en-GB"/>
              </w:rPr>
            </w:pPr>
            <w:r>
              <w:rPr>
                <w:rFonts w:cs="Arial"/>
                <w:b/>
                <w:bCs/>
                <w:sz w:val="22"/>
                <w:szCs w:val="22"/>
                <w:lang w:eastAsia="en-GB"/>
              </w:rPr>
              <w:t>You Go</w:t>
            </w:r>
          </w:p>
        </w:tc>
        <w:tc>
          <w:tcPr>
            <w:tcW w:w="1642" w:type="dxa"/>
            <w:tcBorders>
              <w:top w:val="single" w:sz="18" w:space="0" w:color="auto"/>
              <w:left w:val="single" w:sz="18" w:space="0" w:color="auto"/>
              <w:bottom w:val="single" w:sz="8" w:space="0" w:color="auto"/>
              <w:right w:val="single" w:sz="18" w:space="0" w:color="auto"/>
            </w:tcBorders>
            <w:shd w:val="clear" w:color="auto" w:fill="FFFF00"/>
            <w:vAlign w:val="center"/>
            <w:hideMark/>
          </w:tcPr>
          <w:p w:rsidR="003052DD" w:rsidRPr="005576B9" w:rsidRDefault="003052DD" w:rsidP="00BC3CDC">
            <w:pPr>
              <w:jc w:val="both"/>
              <w:rPr>
                <w:rFonts w:cs="Arial"/>
                <w:b/>
                <w:bCs/>
                <w:sz w:val="22"/>
                <w:szCs w:val="22"/>
                <w:lang w:eastAsia="en-GB"/>
              </w:rPr>
            </w:pPr>
            <w:r w:rsidRPr="005576B9">
              <w:rPr>
                <w:rFonts w:cs="Arial"/>
                <w:b/>
                <w:bCs/>
                <w:sz w:val="22"/>
                <w:szCs w:val="22"/>
                <w:lang w:eastAsia="en-GB"/>
              </w:rPr>
              <w:t>Concession</w:t>
            </w:r>
          </w:p>
        </w:tc>
        <w:tc>
          <w:tcPr>
            <w:tcW w:w="1384" w:type="dxa"/>
            <w:tcBorders>
              <w:top w:val="nil"/>
              <w:left w:val="single" w:sz="18" w:space="0" w:color="auto"/>
              <w:bottom w:val="single" w:sz="8" w:space="0" w:color="auto"/>
              <w:right w:val="single" w:sz="4" w:space="0" w:color="auto"/>
            </w:tcBorders>
            <w:shd w:val="clear" w:color="auto" w:fill="auto"/>
            <w:vAlign w:val="center"/>
            <w:hideMark/>
          </w:tcPr>
          <w:p w:rsidR="003052DD" w:rsidRPr="005576B9" w:rsidRDefault="003052DD" w:rsidP="00BC3CDC">
            <w:pPr>
              <w:jc w:val="both"/>
              <w:rPr>
                <w:rFonts w:cs="Arial"/>
                <w:b/>
                <w:bCs/>
                <w:sz w:val="22"/>
                <w:szCs w:val="22"/>
                <w:lang w:eastAsia="en-GB"/>
              </w:rPr>
            </w:pPr>
            <w:r w:rsidRPr="005576B9">
              <w:rPr>
                <w:rFonts w:cs="Arial"/>
                <w:b/>
                <w:bCs/>
                <w:sz w:val="22"/>
                <w:szCs w:val="22"/>
                <w:lang w:eastAsia="en-GB"/>
              </w:rPr>
              <w:t xml:space="preserve">Average </w:t>
            </w:r>
          </w:p>
        </w:tc>
        <w:tc>
          <w:tcPr>
            <w:tcW w:w="1347" w:type="dxa"/>
            <w:tcBorders>
              <w:top w:val="nil"/>
              <w:left w:val="nil"/>
              <w:bottom w:val="single" w:sz="8" w:space="0" w:color="auto"/>
              <w:right w:val="single" w:sz="4" w:space="0" w:color="auto"/>
            </w:tcBorders>
            <w:shd w:val="clear" w:color="auto" w:fill="auto"/>
            <w:vAlign w:val="center"/>
            <w:hideMark/>
          </w:tcPr>
          <w:p w:rsidR="003052DD" w:rsidRPr="005576B9" w:rsidRDefault="003052DD" w:rsidP="00BC3CDC">
            <w:pPr>
              <w:jc w:val="both"/>
              <w:rPr>
                <w:rFonts w:cs="Arial"/>
                <w:b/>
                <w:bCs/>
                <w:sz w:val="22"/>
                <w:szCs w:val="22"/>
                <w:lang w:eastAsia="en-GB"/>
              </w:rPr>
            </w:pPr>
            <w:r>
              <w:rPr>
                <w:rFonts w:cs="Arial"/>
                <w:b/>
                <w:bCs/>
                <w:sz w:val="22"/>
                <w:szCs w:val="22"/>
                <w:lang w:eastAsia="en-GB"/>
              </w:rPr>
              <w:t>Min</w:t>
            </w:r>
          </w:p>
        </w:tc>
        <w:tc>
          <w:tcPr>
            <w:tcW w:w="1440" w:type="dxa"/>
            <w:tcBorders>
              <w:top w:val="nil"/>
              <w:left w:val="nil"/>
              <w:bottom w:val="single" w:sz="8" w:space="0" w:color="auto"/>
              <w:right w:val="single" w:sz="4" w:space="0" w:color="auto"/>
            </w:tcBorders>
            <w:shd w:val="clear" w:color="auto" w:fill="auto"/>
            <w:vAlign w:val="center"/>
            <w:hideMark/>
          </w:tcPr>
          <w:p w:rsidR="003052DD" w:rsidRPr="005576B9" w:rsidRDefault="003052DD" w:rsidP="00BC3CDC">
            <w:pPr>
              <w:jc w:val="both"/>
              <w:rPr>
                <w:rFonts w:cs="Arial"/>
                <w:b/>
                <w:bCs/>
                <w:sz w:val="22"/>
                <w:szCs w:val="22"/>
                <w:lang w:eastAsia="en-GB"/>
              </w:rPr>
            </w:pPr>
            <w:r>
              <w:rPr>
                <w:rFonts w:cs="Arial"/>
                <w:b/>
                <w:bCs/>
                <w:sz w:val="22"/>
                <w:szCs w:val="22"/>
                <w:lang w:eastAsia="en-GB"/>
              </w:rPr>
              <w:t>Max</w:t>
            </w:r>
          </w:p>
        </w:tc>
        <w:tc>
          <w:tcPr>
            <w:tcW w:w="1726" w:type="dxa"/>
            <w:tcBorders>
              <w:top w:val="nil"/>
              <w:left w:val="nil"/>
              <w:bottom w:val="single" w:sz="8" w:space="0" w:color="auto"/>
              <w:right w:val="single" w:sz="8" w:space="0" w:color="auto"/>
            </w:tcBorders>
            <w:shd w:val="clear" w:color="auto" w:fill="auto"/>
            <w:vAlign w:val="center"/>
            <w:hideMark/>
          </w:tcPr>
          <w:p w:rsidR="003052DD" w:rsidRPr="005576B9" w:rsidRDefault="003052DD" w:rsidP="00BC3CDC">
            <w:pPr>
              <w:jc w:val="both"/>
              <w:rPr>
                <w:rFonts w:cs="Arial"/>
                <w:b/>
                <w:bCs/>
                <w:sz w:val="22"/>
                <w:szCs w:val="22"/>
                <w:lang w:eastAsia="en-GB"/>
              </w:rPr>
            </w:pPr>
            <w:r w:rsidRPr="005576B9">
              <w:rPr>
                <w:rFonts w:cs="Arial"/>
                <w:b/>
                <w:bCs/>
                <w:sz w:val="22"/>
                <w:szCs w:val="22"/>
                <w:lang w:eastAsia="en-GB"/>
              </w:rPr>
              <w:t>Oxford price diffe</w:t>
            </w:r>
            <w:r>
              <w:rPr>
                <w:rFonts w:cs="Arial"/>
                <w:b/>
                <w:bCs/>
                <w:sz w:val="22"/>
                <w:szCs w:val="22"/>
                <w:lang w:eastAsia="en-GB"/>
              </w:rPr>
              <w:t>rence vs average of other centres</w:t>
            </w:r>
          </w:p>
        </w:tc>
      </w:tr>
      <w:tr w:rsidR="003052DD" w:rsidRPr="00600938" w:rsidTr="00BC3CDC">
        <w:trPr>
          <w:trHeight w:val="251"/>
          <w:jc w:val="center"/>
        </w:trPr>
        <w:tc>
          <w:tcPr>
            <w:tcW w:w="2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2DD" w:rsidRDefault="003052DD" w:rsidP="00BC3CDC">
            <w:pPr>
              <w:jc w:val="both"/>
              <w:rPr>
                <w:rFonts w:cs="Arial"/>
                <w:sz w:val="22"/>
                <w:szCs w:val="22"/>
                <w:lang w:eastAsia="en-GB"/>
              </w:rPr>
            </w:pPr>
            <w:r w:rsidRPr="005576B9">
              <w:rPr>
                <w:rFonts w:cs="Arial"/>
                <w:sz w:val="22"/>
                <w:szCs w:val="22"/>
                <w:lang w:eastAsia="en-GB"/>
              </w:rPr>
              <w:t>Casual Swimming</w:t>
            </w:r>
          </w:p>
          <w:p w:rsidR="003052DD" w:rsidRDefault="003052DD" w:rsidP="00BC3CDC">
            <w:pPr>
              <w:jc w:val="both"/>
              <w:rPr>
                <w:rFonts w:cs="Arial"/>
                <w:sz w:val="22"/>
                <w:szCs w:val="22"/>
                <w:lang w:eastAsia="en-GB"/>
              </w:rPr>
            </w:pPr>
          </w:p>
          <w:p w:rsidR="003052DD" w:rsidRPr="005576B9" w:rsidRDefault="003052DD" w:rsidP="00BC3CDC">
            <w:pPr>
              <w:jc w:val="both"/>
              <w:rPr>
                <w:rFonts w:cs="Arial"/>
                <w:sz w:val="22"/>
                <w:szCs w:val="22"/>
                <w:lang w:eastAsia="en-GB"/>
              </w:rPr>
            </w:pP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£4.70</w:t>
            </w:r>
          </w:p>
        </w:tc>
        <w:tc>
          <w:tcPr>
            <w:tcW w:w="1642" w:type="dxa"/>
            <w:tcBorders>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2.00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3.38</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1.80</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5.40</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-40.83%</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Default="003052DD" w:rsidP="00BC3CDC">
            <w:pPr>
              <w:jc w:val="both"/>
              <w:rPr>
                <w:rFonts w:cs="Arial"/>
                <w:sz w:val="22"/>
                <w:szCs w:val="22"/>
                <w:lang w:eastAsia="en-GB"/>
              </w:rPr>
            </w:pPr>
            <w:r w:rsidRPr="005576B9">
              <w:rPr>
                <w:rFonts w:cs="Arial"/>
                <w:sz w:val="22"/>
                <w:szCs w:val="22"/>
                <w:lang w:eastAsia="en-GB"/>
              </w:rPr>
              <w:t>Sauna/Steam</w:t>
            </w:r>
          </w:p>
          <w:p w:rsidR="003052DD" w:rsidRPr="005576B9" w:rsidRDefault="003052DD" w:rsidP="00BC3CDC">
            <w:pPr>
              <w:jc w:val="both"/>
              <w:rPr>
                <w:rFonts w:cs="Arial"/>
                <w:sz w:val="22"/>
                <w:szCs w:val="22"/>
                <w:lang w:eastAsia="en-GB"/>
              </w:rPr>
            </w:pP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£8.00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2.60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4.88</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3.00</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7.20</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-46.67%</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Default="003052DD" w:rsidP="00BC3CDC">
            <w:pPr>
              <w:jc w:val="both"/>
              <w:rPr>
                <w:rFonts w:cs="Arial"/>
                <w:sz w:val="22"/>
                <w:szCs w:val="22"/>
                <w:lang w:eastAsia="en-GB"/>
              </w:rPr>
            </w:pPr>
            <w:r w:rsidRPr="005576B9">
              <w:rPr>
                <w:rFonts w:cs="Arial"/>
                <w:sz w:val="22"/>
                <w:szCs w:val="22"/>
                <w:lang w:eastAsia="en-GB"/>
              </w:rPr>
              <w:t>Water Workout</w:t>
            </w:r>
          </w:p>
          <w:p w:rsidR="003052DD" w:rsidRPr="005576B9" w:rsidRDefault="003052DD" w:rsidP="00BC3CDC">
            <w:pPr>
              <w:jc w:val="both"/>
              <w:rPr>
                <w:rFonts w:cs="Arial"/>
                <w:sz w:val="22"/>
                <w:szCs w:val="22"/>
                <w:lang w:eastAsia="en-GB"/>
              </w:rPr>
            </w:pP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£6.70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2.00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4.80</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2.95</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6.65</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-58.33%</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Pr="005576B9" w:rsidRDefault="003052DD" w:rsidP="00BC3CDC">
            <w:pPr>
              <w:jc w:val="both"/>
              <w:rPr>
                <w:rFonts w:cs="Arial"/>
                <w:sz w:val="22"/>
                <w:szCs w:val="22"/>
                <w:lang w:eastAsia="en-GB"/>
              </w:rPr>
            </w:pPr>
            <w:r w:rsidRPr="005576B9">
              <w:rPr>
                <w:rFonts w:cs="Arial"/>
                <w:sz w:val="22"/>
                <w:szCs w:val="22"/>
                <w:lang w:eastAsia="en-GB"/>
              </w:rPr>
              <w:t>Badminton (1 court / 2 people)</w:t>
            </w: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£7.60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4.00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8.62</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3.10</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15.10</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-53.59%</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Pr="005576B9" w:rsidRDefault="003052DD" w:rsidP="00BC3CDC">
            <w:pPr>
              <w:jc w:val="both"/>
              <w:rPr>
                <w:rFonts w:cs="Arial"/>
                <w:sz w:val="22"/>
                <w:szCs w:val="22"/>
                <w:lang w:eastAsia="en-GB"/>
              </w:rPr>
            </w:pPr>
            <w:r w:rsidRPr="005576B9">
              <w:rPr>
                <w:rFonts w:cs="Arial"/>
                <w:sz w:val="22"/>
                <w:szCs w:val="22"/>
                <w:lang w:eastAsia="en-GB"/>
              </w:rPr>
              <w:t>Squash (1 court / 2 people)</w:t>
            </w: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£8.60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4.00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4.23</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3.90</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4.90</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-5.51%</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Pr="005576B9" w:rsidRDefault="003052DD" w:rsidP="00BC3CDC">
            <w:pPr>
              <w:jc w:val="both"/>
              <w:rPr>
                <w:rFonts w:cs="Arial"/>
                <w:sz w:val="22"/>
                <w:szCs w:val="22"/>
                <w:lang w:eastAsia="en-GB"/>
              </w:rPr>
            </w:pPr>
            <w:r w:rsidRPr="005576B9">
              <w:rPr>
                <w:rFonts w:cs="Arial"/>
                <w:sz w:val="22"/>
                <w:szCs w:val="22"/>
                <w:lang w:eastAsia="en-GB"/>
              </w:rPr>
              <w:t>Table Tennis (1 table / 2 people)</w:t>
            </w: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£7.20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4.00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6.67</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3.10</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10.50</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-40.00%</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Pr="005576B9" w:rsidRDefault="003052DD" w:rsidP="00BC3CDC">
            <w:pPr>
              <w:jc w:val="both"/>
              <w:rPr>
                <w:rFonts w:cs="Arial"/>
                <w:sz w:val="22"/>
                <w:szCs w:val="22"/>
                <w:lang w:eastAsia="en-GB"/>
              </w:rPr>
            </w:pPr>
            <w:r w:rsidRPr="005576B9">
              <w:rPr>
                <w:rFonts w:cs="Arial"/>
                <w:sz w:val="22"/>
                <w:szCs w:val="22"/>
                <w:lang w:eastAsia="en-GB"/>
              </w:rPr>
              <w:t>Beginner Induction</w:t>
            </w: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£23.10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5.10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7.95</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7.80</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8.10</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-35.85%</w:t>
            </w:r>
          </w:p>
        </w:tc>
      </w:tr>
      <w:tr w:rsidR="003052DD" w:rsidRPr="00600938" w:rsidTr="00BC3CDC">
        <w:trPr>
          <w:trHeight w:val="251"/>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3052DD" w:rsidRDefault="003052DD" w:rsidP="00BC3CDC">
            <w:pPr>
              <w:jc w:val="both"/>
              <w:rPr>
                <w:rFonts w:cs="Arial"/>
                <w:sz w:val="22"/>
                <w:szCs w:val="22"/>
                <w:lang w:eastAsia="en-GB"/>
              </w:rPr>
            </w:pPr>
            <w:r w:rsidRPr="005576B9">
              <w:rPr>
                <w:rFonts w:cs="Arial"/>
                <w:sz w:val="22"/>
                <w:szCs w:val="22"/>
                <w:lang w:eastAsia="en-GB"/>
              </w:rPr>
              <w:t>Exercise Class</w:t>
            </w:r>
          </w:p>
          <w:p w:rsidR="003052DD" w:rsidRPr="005576B9" w:rsidRDefault="003052DD" w:rsidP="00BC3CDC">
            <w:pPr>
              <w:jc w:val="both"/>
              <w:rPr>
                <w:rFonts w:cs="Arial"/>
                <w:sz w:val="22"/>
                <w:szCs w:val="22"/>
                <w:lang w:eastAsia="en-GB"/>
              </w:rPr>
            </w:pP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£6.80</w:t>
            </w:r>
          </w:p>
        </w:tc>
        <w:tc>
          <w:tcPr>
            <w:tcW w:w="1642" w:type="dxa"/>
            <w:tcBorders>
              <w:top w:val="nil"/>
              <w:left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2.00</w:t>
            </w:r>
          </w:p>
        </w:tc>
        <w:tc>
          <w:tcPr>
            <w:tcW w:w="1384" w:type="dxa"/>
            <w:tcBorders>
              <w:top w:val="nil"/>
              <w:left w:val="single" w:sz="18" w:space="0" w:color="auto"/>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4.78</w:t>
            </w:r>
          </w:p>
        </w:tc>
        <w:tc>
          <w:tcPr>
            <w:tcW w:w="1347"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3.25</w:t>
            </w:r>
          </w:p>
        </w:tc>
        <w:tc>
          <w:tcPr>
            <w:tcW w:w="1440" w:type="dxa"/>
            <w:tcBorders>
              <w:top w:val="nil"/>
              <w:left w:val="nil"/>
              <w:bottom w:val="single" w:sz="4"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6.65</w:t>
            </w:r>
          </w:p>
        </w:tc>
        <w:tc>
          <w:tcPr>
            <w:tcW w:w="1726" w:type="dxa"/>
            <w:tcBorders>
              <w:top w:val="nil"/>
              <w:left w:val="nil"/>
              <w:bottom w:val="single" w:sz="4"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-58.17%</w:t>
            </w:r>
          </w:p>
        </w:tc>
      </w:tr>
      <w:tr w:rsidR="003052DD" w:rsidRPr="00600938" w:rsidTr="00BC3CDC">
        <w:trPr>
          <w:trHeight w:val="262"/>
          <w:jc w:val="center"/>
        </w:trPr>
        <w:tc>
          <w:tcPr>
            <w:tcW w:w="2045" w:type="dxa"/>
            <w:tcBorders>
              <w:top w:val="nil"/>
              <w:left w:val="single" w:sz="4" w:space="0" w:color="auto"/>
              <w:bottom w:val="single" w:sz="8" w:space="0" w:color="auto"/>
              <w:right w:val="single" w:sz="4" w:space="0" w:color="auto"/>
            </w:tcBorders>
            <w:shd w:val="clear" w:color="auto" w:fill="auto"/>
            <w:noWrap/>
            <w:vAlign w:val="center"/>
            <w:hideMark/>
          </w:tcPr>
          <w:p w:rsidR="003052DD" w:rsidRDefault="003052DD" w:rsidP="00BC3CDC">
            <w:pPr>
              <w:jc w:val="both"/>
              <w:rPr>
                <w:rFonts w:cs="Arial"/>
                <w:sz w:val="22"/>
                <w:szCs w:val="22"/>
                <w:lang w:eastAsia="en-GB"/>
              </w:rPr>
            </w:pPr>
            <w:r w:rsidRPr="005576B9">
              <w:rPr>
                <w:rFonts w:cs="Arial"/>
                <w:sz w:val="22"/>
                <w:szCs w:val="22"/>
                <w:lang w:eastAsia="en-GB"/>
              </w:rPr>
              <w:t>Gym</w:t>
            </w:r>
          </w:p>
          <w:p w:rsidR="003052DD" w:rsidRPr="005576B9" w:rsidRDefault="003052DD" w:rsidP="00BC3CDC">
            <w:pPr>
              <w:jc w:val="both"/>
              <w:rPr>
                <w:rFonts w:cs="Arial"/>
                <w:sz w:val="22"/>
                <w:szCs w:val="22"/>
                <w:lang w:eastAsia="en-GB"/>
              </w:rPr>
            </w:pPr>
          </w:p>
        </w:tc>
        <w:tc>
          <w:tcPr>
            <w:tcW w:w="1642" w:type="dxa"/>
            <w:tcBorders>
              <w:top w:val="single" w:sz="4" w:space="0" w:color="auto"/>
              <w:left w:val="single" w:sz="4" w:space="0" w:color="auto"/>
              <w:bottom w:val="single" w:sz="4" w:space="0" w:color="auto"/>
              <w:right w:val="single" w:sz="18" w:space="0" w:color="auto"/>
            </w:tcBorders>
            <w:vAlign w:val="center"/>
          </w:tcPr>
          <w:p w:rsidR="003052DD" w:rsidRPr="005576B9" w:rsidRDefault="003052DD" w:rsidP="00BC3CDC">
            <w:pPr>
              <w:jc w:val="both"/>
              <w:rPr>
                <w:rFonts w:cs="Arial"/>
                <w:b/>
                <w:bCs/>
                <w:sz w:val="20"/>
                <w:szCs w:val="22"/>
                <w:lang w:eastAsia="en-GB"/>
              </w:rPr>
            </w:pPr>
            <w:r>
              <w:rPr>
                <w:rFonts w:cs="Arial"/>
                <w:b/>
                <w:bCs/>
                <w:sz w:val="20"/>
                <w:szCs w:val="22"/>
                <w:lang w:eastAsia="en-GB"/>
              </w:rPr>
              <w:t>£8.50</w:t>
            </w:r>
          </w:p>
        </w:tc>
        <w:tc>
          <w:tcPr>
            <w:tcW w:w="1642" w:type="dxa"/>
            <w:tcBorders>
              <w:top w:val="nil"/>
              <w:left w:val="single" w:sz="18" w:space="0" w:color="auto"/>
              <w:bottom w:val="single" w:sz="18" w:space="0" w:color="auto"/>
              <w:right w:val="single" w:sz="18" w:space="0" w:color="auto"/>
            </w:tcBorders>
            <w:shd w:val="clear" w:color="auto" w:fill="FFFF00"/>
            <w:noWrap/>
            <w:vAlign w:val="center"/>
            <w:hideMark/>
          </w:tcPr>
          <w:p w:rsidR="003052DD" w:rsidRPr="005576B9" w:rsidRDefault="003052DD" w:rsidP="00BC3CDC">
            <w:pPr>
              <w:jc w:val="both"/>
              <w:rPr>
                <w:rFonts w:cs="Arial"/>
                <w:b/>
                <w:bCs/>
                <w:sz w:val="20"/>
                <w:szCs w:val="22"/>
                <w:lang w:eastAsia="en-GB"/>
              </w:rPr>
            </w:pPr>
            <w:r w:rsidRPr="005576B9">
              <w:rPr>
                <w:rFonts w:cs="Arial"/>
                <w:b/>
                <w:bCs/>
                <w:sz w:val="20"/>
                <w:szCs w:val="22"/>
                <w:lang w:eastAsia="en-GB"/>
              </w:rPr>
              <w:t>£           2.00</w:t>
            </w:r>
          </w:p>
        </w:tc>
        <w:tc>
          <w:tcPr>
            <w:tcW w:w="1384" w:type="dxa"/>
            <w:tcBorders>
              <w:top w:val="nil"/>
              <w:left w:val="single" w:sz="18" w:space="0" w:color="auto"/>
              <w:bottom w:val="single" w:sz="8"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6.11</w:t>
            </w:r>
          </w:p>
        </w:tc>
        <w:tc>
          <w:tcPr>
            <w:tcW w:w="1347" w:type="dxa"/>
            <w:tcBorders>
              <w:top w:val="nil"/>
              <w:left w:val="nil"/>
              <w:bottom w:val="single" w:sz="8"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3.50</w:t>
            </w:r>
          </w:p>
        </w:tc>
        <w:tc>
          <w:tcPr>
            <w:tcW w:w="1440" w:type="dxa"/>
            <w:tcBorders>
              <w:top w:val="nil"/>
              <w:left w:val="nil"/>
              <w:bottom w:val="single" w:sz="8" w:space="0" w:color="auto"/>
              <w:right w:val="single" w:sz="4"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           9.00</w:t>
            </w:r>
          </w:p>
        </w:tc>
        <w:tc>
          <w:tcPr>
            <w:tcW w:w="1726" w:type="dxa"/>
            <w:tcBorders>
              <w:top w:val="nil"/>
              <w:left w:val="nil"/>
              <w:bottom w:val="single" w:sz="8" w:space="0" w:color="auto"/>
              <w:right w:val="single" w:sz="8" w:space="0" w:color="auto"/>
            </w:tcBorders>
            <w:shd w:val="clear" w:color="auto" w:fill="auto"/>
            <w:vAlign w:val="center"/>
            <w:hideMark/>
          </w:tcPr>
          <w:p w:rsidR="003052DD" w:rsidRPr="005576B9" w:rsidRDefault="003052DD" w:rsidP="00BC3CDC">
            <w:pPr>
              <w:jc w:val="both"/>
              <w:rPr>
                <w:rFonts w:cs="Arial"/>
                <w:sz w:val="20"/>
                <w:szCs w:val="22"/>
                <w:lang w:eastAsia="en-GB"/>
              </w:rPr>
            </w:pPr>
            <w:r w:rsidRPr="005576B9">
              <w:rPr>
                <w:rFonts w:cs="Arial"/>
                <w:sz w:val="20"/>
                <w:szCs w:val="22"/>
                <w:lang w:eastAsia="en-GB"/>
              </w:rPr>
              <w:t>-67.29%</w:t>
            </w:r>
          </w:p>
        </w:tc>
      </w:tr>
    </w:tbl>
    <w:p w:rsidR="003052DD" w:rsidRDefault="003052DD" w:rsidP="003052DD">
      <w:pPr>
        <w:jc w:val="both"/>
        <w:rPr>
          <w:sz w:val="22"/>
        </w:rPr>
      </w:pPr>
      <w:r w:rsidRPr="006E6F04">
        <w:rPr>
          <w:sz w:val="22"/>
        </w:rPr>
        <w:t>The table above shows a selection of concessionary pay and play activity charges in Oxford, along with how they compare to others across the country. Up to 11 centres are compared against in this exercise and it is clear to see that Oxford’s concessionary charges are significantly less than others’ averages. Charges do not reflect the 2019/20 increases</w:t>
      </w:r>
      <w:r>
        <w:rPr>
          <w:sz w:val="22"/>
        </w:rPr>
        <w:t>.</w:t>
      </w:r>
    </w:p>
    <w:p w:rsidR="008A22C6" w:rsidRPr="008A22C6" w:rsidRDefault="008A22C6" w:rsidP="008A22C6"/>
    <w:sectPr w:rsidR="008A22C6" w:rsidRPr="008A22C6" w:rsidSect="003052D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DD" w:rsidRDefault="003052DD" w:rsidP="003052DD">
      <w:r>
        <w:separator/>
      </w:r>
    </w:p>
  </w:endnote>
  <w:endnote w:type="continuationSeparator" w:id="0">
    <w:p w:rsidR="003052DD" w:rsidRDefault="003052DD" w:rsidP="0030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DD" w:rsidRDefault="0030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DD" w:rsidRDefault="00305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DD" w:rsidRDefault="0030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DD" w:rsidRDefault="003052DD" w:rsidP="003052DD">
      <w:r>
        <w:separator/>
      </w:r>
    </w:p>
  </w:footnote>
  <w:footnote w:type="continuationSeparator" w:id="0">
    <w:p w:rsidR="003052DD" w:rsidRDefault="003052DD" w:rsidP="0030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DD" w:rsidRDefault="0030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DD" w:rsidRPr="003052DD" w:rsidRDefault="003052DD">
    <w:pPr>
      <w:pStyle w:val="Head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Pr="003052DD">
      <w:rPr>
        <w:sz w:val="28"/>
        <w:szCs w:val="2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DD" w:rsidRDefault="00305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DD"/>
    <w:rsid w:val="000B4310"/>
    <w:rsid w:val="003052DD"/>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2DD"/>
    <w:pPr>
      <w:tabs>
        <w:tab w:val="center" w:pos="4513"/>
        <w:tab w:val="right" w:pos="9026"/>
      </w:tabs>
    </w:pPr>
  </w:style>
  <w:style w:type="character" w:customStyle="1" w:styleId="HeaderChar">
    <w:name w:val="Header Char"/>
    <w:basedOn w:val="DefaultParagraphFont"/>
    <w:link w:val="Header"/>
    <w:uiPriority w:val="99"/>
    <w:rsid w:val="003052DD"/>
    <w:rPr>
      <w:rFonts w:eastAsia="Times New Roman" w:cs="Times New Roman"/>
    </w:rPr>
  </w:style>
  <w:style w:type="paragraph" w:styleId="Footer">
    <w:name w:val="footer"/>
    <w:basedOn w:val="Normal"/>
    <w:link w:val="FooterChar"/>
    <w:uiPriority w:val="99"/>
    <w:unhideWhenUsed/>
    <w:rsid w:val="003052DD"/>
    <w:pPr>
      <w:tabs>
        <w:tab w:val="center" w:pos="4513"/>
        <w:tab w:val="right" w:pos="9026"/>
      </w:tabs>
    </w:pPr>
  </w:style>
  <w:style w:type="character" w:customStyle="1" w:styleId="FooterChar">
    <w:name w:val="Footer Char"/>
    <w:basedOn w:val="DefaultParagraphFont"/>
    <w:link w:val="Footer"/>
    <w:uiPriority w:val="99"/>
    <w:rsid w:val="003052DD"/>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2DD"/>
    <w:pPr>
      <w:tabs>
        <w:tab w:val="center" w:pos="4513"/>
        <w:tab w:val="right" w:pos="9026"/>
      </w:tabs>
    </w:pPr>
  </w:style>
  <w:style w:type="character" w:customStyle="1" w:styleId="HeaderChar">
    <w:name w:val="Header Char"/>
    <w:basedOn w:val="DefaultParagraphFont"/>
    <w:link w:val="Header"/>
    <w:uiPriority w:val="99"/>
    <w:rsid w:val="003052DD"/>
    <w:rPr>
      <w:rFonts w:eastAsia="Times New Roman" w:cs="Times New Roman"/>
    </w:rPr>
  </w:style>
  <w:style w:type="paragraph" w:styleId="Footer">
    <w:name w:val="footer"/>
    <w:basedOn w:val="Normal"/>
    <w:link w:val="FooterChar"/>
    <w:uiPriority w:val="99"/>
    <w:unhideWhenUsed/>
    <w:rsid w:val="003052DD"/>
    <w:pPr>
      <w:tabs>
        <w:tab w:val="center" w:pos="4513"/>
        <w:tab w:val="right" w:pos="9026"/>
      </w:tabs>
    </w:pPr>
  </w:style>
  <w:style w:type="character" w:customStyle="1" w:styleId="FooterChar">
    <w:name w:val="Footer Char"/>
    <w:basedOn w:val="DefaultParagraphFont"/>
    <w:link w:val="Footer"/>
    <w:uiPriority w:val="99"/>
    <w:rsid w:val="003052D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6B97-E29F-41AC-AF9D-91D95485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B74DA90E</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2019-08-09T10:51:00Z</dcterms:created>
  <dcterms:modified xsi:type="dcterms:W3CDTF">2019-08-09T10:52:00Z</dcterms:modified>
</cp:coreProperties>
</file>